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在肥高校大学生医疗保险参保告知单</w:t>
      </w:r>
    </w:p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（2019）</w:t>
      </w:r>
    </w:p>
    <w:p>
      <w:pPr>
        <w:spacing w:line="52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60" w:lineRule="exact"/>
        <w:rPr>
          <w:rFonts w:ascii="方正小标宋简体" w:hAnsi="宋体" w:eastAsia="方正小标宋简体"/>
          <w:b/>
          <w:sz w:val="30"/>
          <w:szCs w:val="30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一、参保和缴费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在校大学生以所在高校为参保单位，组织学生统一办理参保登记和缴费手续。按照国家规定，2019年筹资标准为770元/人,其中：财政补助520元/人,个人缴费250元/人。参保缴费时间2019年11月1日-2019年12月20日。</w:t>
      </w:r>
    </w:p>
    <w:p>
      <w:pPr>
        <w:spacing w:line="560" w:lineRule="exact"/>
        <w:rPr>
          <w:rFonts w:ascii="仿宋_GB2312" w:hAnsi="宋体" w:eastAsia="仿宋_GB2312"/>
          <w:sz w:val="30"/>
          <w:szCs w:val="30"/>
        </w:rPr>
      </w:pPr>
    </w:p>
    <w:p>
      <w:pPr>
        <w:spacing w:line="560" w:lineRule="exact"/>
        <w:rPr>
          <w:rFonts w:ascii="方正小标宋简体" w:hAnsi="宋体" w:eastAsia="方正小标宋简体"/>
          <w:b/>
          <w:sz w:val="30"/>
          <w:szCs w:val="30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二、享受时间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2019年参保缴费后，医保享受期为2020年1月1日至2020年12月31日（包括2020年7月的毕业生）。</w:t>
      </w:r>
    </w:p>
    <w:p>
      <w:pPr>
        <w:spacing w:line="560" w:lineRule="exact"/>
        <w:rPr>
          <w:rFonts w:ascii="仿宋_GB2312" w:hAnsi="宋体" w:eastAsia="仿宋_GB2312"/>
          <w:sz w:val="30"/>
          <w:szCs w:val="30"/>
        </w:rPr>
      </w:pPr>
    </w:p>
    <w:p>
      <w:pPr>
        <w:spacing w:line="560" w:lineRule="exact"/>
        <w:rPr>
          <w:rFonts w:ascii="方正小标宋简体" w:hAnsi="宋体" w:eastAsia="方正小标宋简体"/>
          <w:b/>
          <w:sz w:val="30"/>
          <w:szCs w:val="30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三、医保待遇</w:t>
      </w:r>
    </w:p>
    <w:p>
      <w:pPr>
        <w:spacing w:line="560" w:lineRule="exact"/>
        <w:ind w:firstLine="600" w:firstLineChars="200"/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sz w:val="30"/>
          <w:szCs w:val="30"/>
        </w:rPr>
        <w:t>1、普通门诊待遇：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大学生普通门诊医疗统筹基金实行学校包干使用。按参保学生数30元/人的标准拨付高校包干使用。具体报销政策由各高校自行制定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  <w:t>。我校具体办法：通过招标给学生购买了</w:t>
      </w:r>
      <w:bookmarkStart w:id="0" w:name="_GoBack"/>
      <w:r>
        <w:rPr>
          <w:rFonts w:hint="eastAsia" w:ascii="仿宋_GB2312" w:hAnsi="宋体" w:eastAsia="仿宋_GB2312" w:cs="宋体"/>
          <w:kern w:val="0"/>
          <w:sz w:val="30"/>
          <w:szCs w:val="30"/>
          <w:highlight w:val="yellow"/>
          <w:lang w:eastAsia="zh-CN"/>
        </w:rPr>
        <w:t>大学生医保学补险</w:t>
      </w:r>
      <w:bookmarkEnd w:id="0"/>
      <w:r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  <w:t>用于门诊等报销。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2、特殊病门诊待遇：</w:t>
      </w:r>
      <w:r>
        <w:rPr>
          <w:rFonts w:hint="eastAsia" w:ascii="仿宋_GB2312" w:hAnsi="宋体" w:eastAsia="仿宋_GB2312"/>
          <w:sz w:val="30"/>
          <w:szCs w:val="30"/>
        </w:rPr>
        <w:t>患有我市规定的56种门诊特殊病种的，可向市医疗中心申请。符合鉴定标准的享受特殊病门诊待遇。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3、合肥市住院医疗待遇：因病需要住院治疗的，应持本人身份证到本市医保定点医疗机构就医。可报销费用出院时直接联网结算。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30"/>
          <w:szCs w:val="30"/>
        </w:rPr>
      </w:pPr>
    </w:p>
    <w:p>
      <w:pPr>
        <w:spacing w:line="60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医保待遇一览表</w:t>
      </w:r>
    </w:p>
    <w:tbl>
      <w:tblPr>
        <w:tblStyle w:val="7"/>
        <w:tblpPr w:leftFromText="180" w:rightFromText="180" w:vertAnchor="text" w:horzAnchor="margin" w:tblpXSpec="center" w:tblpY="83"/>
        <w:tblW w:w="99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2319"/>
        <w:gridCol w:w="2320"/>
        <w:gridCol w:w="2320"/>
        <w:gridCol w:w="17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享受类别</w:t>
            </w:r>
          </w:p>
        </w:tc>
        <w:tc>
          <w:tcPr>
            <w:tcW w:w="69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享受待遇政策规定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报销结算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普通门诊</w:t>
            </w:r>
          </w:p>
        </w:tc>
        <w:tc>
          <w:tcPr>
            <w:tcW w:w="69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大学生普通门诊医疗统筹基金实行学校包干使用。每生每年30元的标准拨付高校包干使用。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各高校自行报销结算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特殊病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门诊</w:t>
            </w:r>
          </w:p>
        </w:tc>
        <w:tc>
          <w:tcPr>
            <w:tcW w:w="69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（1）高血压病（2）冠心病（3）心功能不全（4）脑出血（脑梗死）（5）原发性肺动脉高压（6）慢性阻塞性肺疾病（7）支气管哮喘（8）溃疡性结肠炎（9）克罗恩病（10）肝硬化（11）慢性乙型病毒性肝炎（12）慢性丙型病毒性肝炎（13）自身免疫性肝病（14）糖尿病（15）甲状腺功能亢进（16）慢性肾脏病（17）肾病综合征（18）肾透析（19）类风湿性关节炎（20）系统性红斑狼疮（21）强直性脊柱炎（22）白塞氏病（23）系统性硬化病（24）重症肌无力（25）运动神经元病（26）多发性硬化（27）癫痫（28）帕金森病（29）老年痴呆（30）精神障碍（31）结核病（32）艾滋病机会感染（33）湿性年龄相关性黄斑病变（34）银屑病（35）心脏瓣膜置换或血管支架植入术后（36）器官移植术后（37）儿童先天遗传类疾病（38）小胖威利症（39）肝豆状核变性（40）小儿脑瘫（41）血友病（42）再生障碍性贫血（43）慢性髓系白血病（44）恶性肿瘤（含放化疗内分泌治疗靶向治疗）（45）甲状腺功能减退（46）免疫性血小板减少性紫癜（47）晚期血吸虫病（48）白癜风（49）肌萎缩（50）弥漫性结缔组织病（51）心脏冠脉搭桥术后（52）心脏起搏器植入术后（53）淋巴瘤（54）多发性骨髓瘤（55）骨髓增生异常综合征（56）骨髓增生性疾病等56种疾病可申请特殊病门诊治疗。申请取得《特殊病门诊医疗卡》后可在所选的定点医院享受门诊报销待遇。特殊病门诊发生符合基本医疗保险规定的费用，起付标准和报销比例按照医院住院标准执行。 </w:t>
            </w:r>
          </w:p>
        </w:tc>
        <w:tc>
          <w:tcPr>
            <w:tcW w:w="17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1、住院和门诊特殊病治疗的费用，属于个人应承担的费用，由大学生支付给定点医疗机构；属于基金承担的费用，由市医疗保险经办机构与定点医疗机构直接结算。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2、一个结算年度内，住院和门诊特殊病的基金合计最高支付限额为30万元/人。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住院</w:t>
            </w:r>
          </w:p>
        </w:tc>
        <w:tc>
          <w:tcPr>
            <w:tcW w:w="4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2"/>
                <w:szCs w:val="22"/>
              </w:rPr>
              <w:t>起付标准（门槛费）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2"/>
                <w:szCs w:val="22"/>
              </w:rPr>
              <w:t xml:space="preserve">基金支付比例               </w:t>
            </w:r>
          </w:p>
        </w:tc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2"/>
                <w:szCs w:val="22"/>
              </w:rPr>
              <w:t>省属三级医院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ahoma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Tahoma" w:asciiTheme="majorEastAsia" w:hAnsiTheme="majorEastAsia" w:eastAsiaTheme="majorEastAsia"/>
                <w:kern w:val="0"/>
                <w:sz w:val="22"/>
                <w:szCs w:val="22"/>
              </w:rPr>
              <w:t>500元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ahoma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Tahoma" w:asciiTheme="majorEastAsia" w:hAnsiTheme="majorEastAsia" w:eastAsiaTheme="majorEastAsia"/>
                <w:kern w:val="0"/>
                <w:sz w:val="22"/>
                <w:szCs w:val="22"/>
              </w:rPr>
              <w:t>75%</w:t>
            </w:r>
          </w:p>
        </w:tc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2"/>
                <w:szCs w:val="22"/>
              </w:rPr>
              <w:t>三级医院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ahoma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Tahoma" w:asciiTheme="majorEastAsia" w:hAnsiTheme="majorEastAsia" w:eastAsiaTheme="majorEastAsia"/>
                <w:kern w:val="0"/>
                <w:sz w:val="22"/>
                <w:szCs w:val="22"/>
              </w:rPr>
              <w:t>350元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ahoma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Tahoma" w:asciiTheme="majorEastAsia" w:hAnsiTheme="majorEastAsia" w:eastAsiaTheme="majorEastAsia"/>
                <w:kern w:val="0"/>
                <w:sz w:val="22"/>
                <w:szCs w:val="22"/>
              </w:rPr>
              <w:t>80%</w:t>
            </w:r>
          </w:p>
        </w:tc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2"/>
                <w:szCs w:val="22"/>
              </w:rPr>
              <w:t>二级医院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ahoma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Tahoma" w:asciiTheme="majorEastAsia" w:hAnsiTheme="majorEastAsia" w:eastAsiaTheme="majorEastAsia"/>
                <w:kern w:val="0"/>
                <w:sz w:val="22"/>
                <w:szCs w:val="22"/>
              </w:rPr>
              <w:t>250元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ahoma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Tahoma" w:asciiTheme="majorEastAsia" w:hAnsiTheme="majorEastAsia" w:eastAsiaTheme="majorEastAsia"/>
                <w:kern w:val="0"/>
                <w:sz w:val="22"/>
                <w:szCs w:val="22"/>
              </w:rPr>
              <w:t>85%</w:t>
            </w:r>
          </w:p>
        </w:tc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2"/>
                <w:szCs w:val="22"/>
              </w:rPr>
              <w:t>一级医院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ahoma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Tahoma" w:asciiTheme="majorEastAsia" w:hAnsiTheme="majorEastAsia" w:eastAsiaTheme="majorEastAsia"/>
                <w:kern w:val="0"/>
                <w:sz w:val="22"/>
                <w:szCs w:val="22"/>
              </w:rPr>
              <w:t>100元</w:t>
            </w:r>
          </w:p>
        </w:tc>
        <w:tc>
          <w:tcPr>
            <w:tcW w:w="2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ahoma" w:asciiTheme="majorEastAsia" w:hAnsiTheme="majorEastAsia" w:eastAsiaTheme="majorEastAsia"/>
                <w:kern w:val="0"/>
                <w:sz w:val="22"/>
                <w:szCs w:val="22"/>
              </w:rPr>
            </w:pPr>
            <w:r>
              <w:rPr>
                <w:rFonts w:hint="eastAsia" w:cs="Tahoma" w:asciiTheme="majorEastAsia" w:hAnsiTheme="majorEastAsia" w:eastAsiaTheme="majorEastAsia"/>
                <w:kern w:val="0"/>
                <w:sz w:val="22"/>
                <w:szCs w:val="22"/>
              </w:rPr>
              <w:t>90%</w:t>
            </w:r>
          </w:p>
        </w:tc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60" w:lineRule="exact"/>
        <w:rPr>
          <w:rFonts w:ascii="方正小标宋简体" w:hAnsi="宋体" w:eastAsia="方正小标宋简体"/>
          <w:b/>
          <w:sz w:val="30"/>
          <w:szCs w:val="30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四、就医须知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1、普通门诊需到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我校</w:t>
      </w:r>
      <w:r>
        <w:rPr>
          <w:rFonts w:hint="eastAsia" w:ascii="仿宋_GB2312" w:hAnsi="宋体" w:eastAsia="仿宋_GB2312"/>
          <w:sz w:val="30"/>
          <w:szCs w:val="30"/>
        </w:rPr>
        <w:t>校医院门诊就医，或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本地、</w:t>
      </w:r>
      <w:r>
        <w:rPr>
          <w:rFonts w:hint="eastAsia" w:ascii="仿宋_GB2312" w:hAnsi="宋体" w:eastAsia="仿宋_GB2312"/>
          <w:sz w:val="30"/>
          <w:szCs w:val="30"/>
        </w:rPr>
        <w:t>异地二级及以上医院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就诊，然后携带相关材料每个月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15日（遇到节假日顺延到下一个工作日）下午2:00-5:00到学校元培楼学生事务大厅104报销</w:t>
      </w:r>
      <w:r>
        <w:rPr>
          <w:rFonts w:hint="eastAsia" w:ascii="仿宋_GB2312" w:hAnsi="宋体" w:eastAsia="仿宋_GB2312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、特殊病门诊待遇需先申请：携带相关病例材料（包括门诊病历、出院记录或疾病诊断证明、检查报告单和药品发票等）到医疗保险经办机构申报，符合鉴定标准的，发放《特殊病门诊医疗卡》，申请人自发卡之日起享受特殊病门诊待遇。特殊病门诊实行定点治疗，一个结算年度内可选择一家定点医疗机构，凭《特殊病门诊医疗卡》和本人身份证进行门诊治疗，可报销费用直接联网结算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3、住院治疗。因病需要住院治疗的，应持本人身份证到本市定点医疗机构就医。不在定点医疗机构就医治疗的，发生的医疗费用不予报销。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4、转诊转院或异地就医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未在我市三级医院办理备案登记手续在异地就医的，就医的医疗费用由个人先垫付。医疗终结后，携带出院小结、费用明细清单、住院医疗费用发票等材料向学校医保经办机构申请，由学校医保经办机构填写《在肥高校在校大学生转诊转院/异地就医备案单》，并经学生辅导员和院（系）领导核实、学校医保经办机构签署意见后，由学校医保经办机构统一到市医保中心办理报销手续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参保大学生异地就医费用，按我市相应级别协议医疗机构医保支付标准和规定执行。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大学生因病休学期间办理特殊病门诊治疗手续的，可在居住地选择1-2家医疗机构作为特殊病门诊定点机构。</w:t>
      </w:r>
    </w:p>
    <w:p>
      <w:pPr>
        <w:spacing w:line="560" w:lineRule="exact"/>
        <w:rPr>
          <w:rFonts w:ascii="方正小标宋简体" w:hAnsi="宋体" w:eastAsia="方正小标宋简体"/>
          <w:b/>
          <w:sz w:val="30"/>
          <w:szCs w:val="30"/>
        </w:rPr>
      </w:pPr>
    </w:p>
    <w:p>
      <w:pPr>
        <w:spacing w:line="560" w:lineRule="exact"/>
        <w:rPr>
          <w:rFonts w:ascii="方正小标宋简体" w:hAnsi="宋体" w:eastAsia="方正小标宋简体"/>
          <w:b/>
          <w:sz w:val="30"/>
          <w:szCs w:val="30"/>
        </w:rPr>
      </w:pPr>
    </w:p>
    <w:p>
      <w:pPr>
        <w:spacing w:line="560" w:lineRule="exact"/>
        <w:rPr>
          <w:rFonts w:ascii="方正小标宋简体" w:hAnsi="宋体" w:eastAsia="方正小标宋简体"/>
          <w:b/>
          <w:sz w:val="30"/>
          <w:szCs w:val="30"/>
        </w:rPr>
      </w:pPr>
    </w:p>
    <w:p>
      <w:pPr>
        <w:spacing w:line="560" w:lineRule="exact"/>
        <w:rPr>
          <w:rFonts w:ascii="方正小标宋简体" w:hAnsi="宋体" w:eastAsia="方正小标宋简体"/>
          <w:b/>
          <w:sz w:val="30"/>
          <w:szCs w:val="30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五、大病保险待遇</w:t>
      </w:r>
    </w:p>
    <w:p>
      <w:pPr>
        <w:spacing w:line="560" w:lineRule="exact"/>
        <w:ind w:firstLine="600" w:firstLineChars="200"/>
        <w:rPr>
          <w:rFonts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所有参保大学生同时享受大病保险待遇，个人无需另行缴费。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参保大学生在享受基本医疗保险待遇后，个人自付部分超过1.5万元以上的部分（含特殊病门诊个人自付费用），进入大病保险报销范围，按60%-85%分段累计报销。在本市定点医疗机构发生的大病保险费用实行联网实时结算。</w:t>
      </w:r>
    </w:p>
    <w:p>
      <w:pPr>
        <w:spacing w:line="560" w:lineRule="exact"/>
        <w:ind w:firstLine="600" w:firstLineChars="200"/>
        <w:rPr>
          <w:rFonts w:ascii="仿宋_GB2312" w:hAnsi="Arial" w:eastAsia="仿宋_GB2312" w:cs="Arial"/>
          <w:color w:val="000000"/>
          <w:kern w:val="0"/>
          <w:sz w:val="30"/>
          <w:szCs w:val="30"/>
        </w:rPr>
      </w:pPr>
    </w:p>
    <w:p>
      <w:pPr>
        <w:spacing w:line="560" w:lineRule="exact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快 速 指 南</w:t>
      </w:r>
    </w:p>
    <w:p>
      <w:pPr>
        <w:spacing w:line="560" w:lineRule="exact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1、普通门诊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各高校校医院门诊就医，或按照各高校自定政策就医、报销。</w:t>
      </w:r>
    </w:p>
    <w:p>
      <w:pPr>
        <w:spacing w:line="560" w:lineRule="exact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2、特殊病种门诊</w:t>
      </w:r>
    </w:p>
    <w:p>
      <w:pPr>
        <w:spacing w:line="560" w:lineRule="exact"/>
        <w:ind w:firstLine="600" w:firstLineChars="200"/>
        <w:rPr>
          <w:rFonts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患有政策规定的56种门诊特殊病的，申请取得</w:t>
      </w:r>
      <w:r>
        <w:rPr>
          <w:rFonts w:hint="eastAsia" w:ascii="仿宋_GB2312" w:hAnsi="宋体" w:eastAsia="仿宋_GB2312"/>
          <w:sz w:val="30"/>
          <w:szCs w:val="30"/>
        </w:rPr>
        <w:t>《特殊病门诊医疗卡》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后，可在所选的定点医院享受门诊报销待遇，报销费用在定点医院直接结算。</w:t>
      </w:r>
    </w:p>
    <w:p>
      <w:pPr>
        <w:spacing w:line="560" w:lineRule="exact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3、本地住院</w:t>
      </w:r>
    </w:p>
    <w:p>
      <w:pPr>
        <w:spacing w:line="560" w:lineRule="exact"/>
        <w:ind w:firstLine="600" w:firstLineChars="200"/>
        <w:rPr>
          <w:rFonts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凭身份证到定点医院办理住院手续，出院时医保范围内费用在定点医院直接报销结算。</w:t>
      </w:r>
    </w:p>
    <w:p>
      <w:pPr>
        <w:spacing w:line="560" w:lineRule="exact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4、异地就医</w:t>
      </w:r>
    </w:p>
    <w:p>
      <w:pPr>
        <w:spacing w:line="560" w:lineRule="exact"/>
        <w:ind w:firstLine="600" w:firstLineChars="200"/>
        <w:rPr>
          <w:rFonts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就医前联系学校负责老师，按第四条就医须知第4款办理。</w:t>
      </w:r>
    </w:p>
    <w:p>
      <w:pPr>
        <w:spacing w:line="560" w:lineRule="exact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3332480</wp:posOffset>
            </wp:positionH>
            <wp:positionV relativeFrom="margin">
              <wp:posOffset>6836410</wp:posOffset>
            </wp:positionV>
            <wp:extent cx="1595120" cy="1595120"/>
            <wp:effectExtent l="0" t="0" r="5715" b="5715"/>
            <wp:wrapNone/>
            <wp:docPr id="8" name="图片 8" descr="微信图片_20180910093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18091009315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4884" cy="159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3256280</wp:posOffset>
            </wp:positionH>
            <wp:positionV relativeFrom="margin">
              <wp:posOffset>10452100</wp:posOffset>
            </wp:positionV>
            <wp:extent cx="2038350" cy="2038350"/>
            <wp:effectExtent l="0" t="0" r="0" b="0"/>
            <wp:wrapSquare wrapText="bothSides"/>
            <wp:docPr id="1" name="图片 1" descr="微信图片_20180910093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809100931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了解更多医保政策信息，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请关注合肥医保微信公众号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或登陆合肥市医疗保障局网站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fldChar w:fldCharType="begin"/>
      </w:r>
      <w:r>
        <w:instrText xml:space="preserve"> HYPERLINK "http://hfyb.hefei.gov.cn" </w:instrText>
      </w:r>
      <w:r>
        <w:fldChar w:fldCharType="separate"/>
      </w:r>
      <w:r>
        <w:rPr>
          <w:rStyle w:val="6"/>
          <w:rFonts w:hint="eastAsia" w:ascii="仿宋_GB2312" w:eastAsia="仿宋_GB2312"/>
          <w:sz w:val="30"/>
          <w:szCs w:val="30"/>
        </w:rPr>
        <w:t>http://hfyb.hefei.gov.cn</w:t>
      </w:r>
      <w:r>
        <w:rPr>
          <w:rStyle w:val="6"/>
          <w:rFonts w:hint="eastAsia" w:ascii="仿宋_GB2312" w:eastAsia="仿宋_GB2312"/>
          <w:sz w:val="30"/>
          <w:szCs w:val="30"/>
        </w:rPr>
        <w:fldChar w:fldCharType="end"/>
      </w:r>
      <w:r>
        <w:rPr>
          <w:rFonts w:hint="eastAsia" w:ascii="仿宋_GB2312" w:eastAsia="仿宋_GB2312"/>
          <w:sz w:val="30"/>
          <w:szCs w:val="30"/>
        </w:rPr>
        <w:t>查询。</w:t>
      </w:r>
    </w:p>
    <w:p>
      <w:pPr>
        <w:spacing w:line="460" w:lineRule="exact"/>
        <w:ind w:firstLine="140" w:firstLineChars="50"/>
        <w:jc w:val="left"/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合肥医保微信公众号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rFonts w:hint="eastAsia"/>
      </w:rPr>
      <w:t>合肥市医疗保障局 宣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252EC"/>
    <w:rsid w:val="15AB0F18"/>
    <w:rsid w:val="1F3F4684"/>
    <w:rsid w:val="44584210"/>
    <w:rsid w:val="72B147A8"/>
    <w:rsid w:val="798D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381</Words>
  <Characters>2176</Characters>
  <Lines>18</Lines>
  <Paragraphs>5</Paragraphs>
  <TotalTime>40</TotalTime>
  <ScaleCrop>false</ScaleCrop>
  <LinksUpToDate>false</LinksUpToDate>
  <CharactersWithSpaces>2552</CharactersWithSpaces>
  <Application>WPS Office_11.1.0.8203_F1E327BC-269C-435d-A152-05C5408002CA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2019-08-02T09:32:00Z</dcterms:created>
  <dc:creator>Administrator</dc:creator>
  <cp:lastModifiedBy>Administrator</cp:lastModifiedBy>
  <dcterms:modified xsi:type="dcterms:W3CDTF">2019-09-28T01:17:05Z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2052-11.1.0.8203</vt:lpwstr>
  </property>
</Properties>
</file>